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43.000000000002" w:type="dxa"/>
        <w:jc w:val="left"/>
        <w:tblInd w:w="-24.0" w:type="dxa"/>
        <w:tblLayout w:type="fixed"/>
        <w:tblLook w:val="0400"/>
      </w:tblPr>
      <w:tblGrid>
        <w:gridCol w:w="3076"/>
        <w:gridCol w:w="1940"/>
        <w:gridCol w:w="1162"/>
        <w:gridCol w:w="2018"/>
        <w:gridCol w:w="1247"/>
        <w:tblGridChange w:id="0">
          <w:tblGrid>
            <w:gridCol w:w="3076"/>
            <w:gridCol w:w="1940"/>
            <w:gridCol w:w="1162"/>
            <w:gridCol w:w="2018"/>
            <w:gridCol w:w="1247"/>
          </w:tblGrid>
        </w:tblGridChange>
      </w:tblGrid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Комуникологија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Медијске публике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Сњежана Миливојевић, доц. др Данка Нинковић Славнић</w:t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изборни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Курс се бави медијским публикама као једним од најмање истраживаних актера јавне комуниакције и медијског амбијента. Подељен је у две целине: 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color w:val="000000"/>
                <w:sz w:val="20"/>
                <w:szCs w:val="20"/>
                <w:rtl w:val="0"/>
              </w:rPr>
              <w:t xml:space="preserve">првој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се у историјској перспективи разматрају главни теоријски приступи, (позитивстички, критички, констрикционистички ) и критички разматрају различите парадигме (пасивна- актива-интерактивна) у разумевању медијске публике.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color w:val="000000"/>
                <w:sz w:val="20"/>
                <w:szCs w:val="20"/>
                <w:rtl w:val="0"/>
              </w:rPr>
              <w:t xml:space="preserve">Други део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курса разматра различите амбијенте рецепције (доместификација медијске потрошње) и новог културног амбијента који формирају мобилни, дигитални и социјални медији. У фокусу је публика нових медија, нове медијске навике, компетенције и на њима засновани облици партиципације у дигиталном окружењу. Разматрају се нови облици понашања, индивидуалне и генерацијске одлике у приступу, размени и креирању медијских садржаја. Активност на друштвеним мрежама анализира се у околностима економије надзора, мониторне демократије и умерженог друштва.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Након завршетка курса студенти/киње ће бити способни да идентификују различите приступе у студијама публике, критички вреднују њихове предности за различите врсте истраживања, самостално анализирају релације које се успостављају имеђу публика /корисника и медија (технологија и садржаја) у различитим културним и друштвеним контекстима.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1) Медији и њихове публике. Технолошка, социјална и културна динамика у односима публика и медија. 2) Да ли је потребна теорија публике ? Еволуција знања о корисницима медија. Пасивна, активна и интерактивна публика. Корисници и потрошачи медија. 3) Позитивистички приступи у разумевању публике: „студије ефеката“ и „користи и задовољства“. 4) Критички приступи истраживању пубике. Франкфуртска школа и Британске културне студије. 5) Културна потрошња и конструкција публике. Политичка економија комуникација: Публика као роба. 6) Публика у дигиталном добу. Нови медији и нове праксе у коришћењу медија. Индивидуални медијски репертоари. 7) Различити простори формирања публике. Културне мапе и доместификација медијске потрошње. Мобилни медији као приватни и јавни простор. 8) Родна димензија медијских навика. Културне разлике и ратови у дневној соби.  9) Тривијална естетика и масовна потрошња. Интерпретативне заједнице, обожаваоци, пратиоци. 10)  Друштвене мреже и нове медијске навике. Медијски и друштвени активизам у доба Googlе-a и Facebook-a. 11) Ново разумевање публике. Коришћење медија, културно грађанство и друштвена партиципација. Улога алгоритама и надзор. 12) Како истраживати публику - дебата о методама.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567"/>
              </w:tabs>
              <w:spacing w:after="6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 Бригс, А. и Кобли, П. (2005).Увод у студије медија, Београд: Клио, стр. 374-449.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 Ђорђевић, Ј. (2009). Посткултура, Београд: Клио, стр. 295-311.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 Миливојевић, С. (2015). Медији, идеологија и култура, Београд:Фабрика књига, стр. 31-55, 151-167.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 Морли, Д. и Робинс, К. (2003). Британске студије културе, Београд: Геопоетика, 2003, 317-393.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 Мекчејсни, Р. (2015). Дигитална искљученост, Београд: Универзитет Сингидунум, стр. 20-45.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 Carpentier, N., Schrøder, K. C., Hallett, L. (еds.) (2013). Audience Transformations: Shifting Audience Positions in Late Modernity. London &amp; New York: Routledge.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7. Nightingale, V. (2011). The handbook of media audiences, Wiley-Blackwell.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8. Радок, Е. (2015). Млади и медији, Београд: Клио.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9. Џајлс, Д. (2011). Психологија медија. Београд: Клио.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 Participation, Vol. 14. Issue 2. Nov. 2017, Themed Section: News Consumprion Across Europe.</w:t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активне наставе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 оквиру наставе се са студентима организују дискусије о темама обрађеним у предложеној литератури, а студенти презентују своје радове који се баве различитим аспектима искуства савремене публике. По потреби се организују и радионице које укључују госте - истраживаче, као и стручњаке из медијске индустрије.</w:t>
            </w:r>
          </w:p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презентација истраживачког пројекта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  <w:sz w:val="22"/>
      <w:szCs w:val="22"/>
      <w:lang w:bidi="ar-SA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Emphasis">
    <w:name w:val="Emphasis"/>
    <w:qFormat w:val="1"/>
    <w:rPr>
      <w:i w:val="1"/>
      <w:iCs w:val="1"/>
    </w:rPr>
  </w:style>
  <w:style w:type="paragraph" w:styleId="Heading" w:customStyle="1">
    <w:name w:val="Heading"/>
    <w:basedOn w:val="Normal"/>
    <w:next w:val="BodyText"/>
    <w:qFormat w:val="1"/>
    <w:pPr>
      <w:keepNext w:val="1"/>
      <w:spacing w:after="120" w:before="240"/>
    </w:pPr>
    <w:rPr>
      <w:rFonts w:ascii="Liberation Sans" w:cs="Arial Unicode MS" w:eastAsia="PingFang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Arial Unicode MS"/>
      <w:i w:val="1"/>
      <w:iCs w:val="1"/>
      <w:sz w:val="24"/>
      <w:szCs w:val="24"/>
    </w:rPr>
  </w:style>
  <w:style w:type="paragraph" w:styleId="Index" w:customStyle="1">
    <w:name w:val="Index"/>
    <w:basedOn w:val="Normal"/>
    <w:qFormat w:val="1"/>
    <w:pPr>
      <w:suppressLineNumbers w:val="1"/>
    </w:pPr>
    <w:rPr>
      <w:rFonts w:cs="Arial Unicode MS"/>
    </w:rPr>
  </w:style>
  <w:style w:type="paragraph" w:styleId="TableContents" w:customStyle="1">
    <w:name w:val="Table Contents"/>
    <w:basedOn w:val="Normal"/>
    <w:qFormat w:val="1"/>
    <w:pPr>
      <w:suppressLineNumbers w:val="1"/>
    </w:pPr>
  </w:style>
  <w:style w:type="paragraph" w:styleId="TableHeading" w:customStyle="1">
    <w:name w:val="Table Heading"/>
    <w:basedOn w:val="TableContents"/>
    <w:qFormat w:val="1"/>
    <w:pPr>
      <w:jc w:val="center"/>
    </w:pPr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PlGJDBxnAAuDY1cK/HPSSjN3KQ==">AMUW2mXQNRV9n9lKwwcXFF9ZTi3tk8poKOs3YA/43b/b9VS/zWfencaz9LTRhHcA5+3BCt5Klf/jXx8Za5Vfw+OLZb/5zvfKAqstH6mKdTkSyvUPzWN2GkE=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2020-12-21T12:12:00Z</dcterms:created>
  <dc:creator>ivana.sunderic</dc:creator>
</cp:coreProperties>
</file>